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6F5" w:rsidRPr="00004F49" w:rsidRDefault="003B26F5" w:rsidP="00004F49">
      <w:pPr>
        <w:pStyle w:val="1"/>
        <w:rPr>
          <w:rFonts w:eastAsia="Times New Roman"/>
        </w:rPr>
      </w:pPr>
      <w:r w:rsidRPr="003B26F5">
        <w:rPr>
          <w:rFonts w:eastAsia="Times New Roman"/>
        </w:rPr>
        <w:t>Приложение 2 к тендерной документации</w:t>
      </w: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1) Товар должен быть зарегистрирован в Республике Казахстан и готов к применению в соответствии с Кодексом Республики Казахстан </w:t>
      </w:r>
      <w:r w:rsidR="008D6F7C" w:rsidRPr="008D6F7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 7 июля 2020 года 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«О здоровье народа и системе здравоохранения» №</w:t>
      </w:r>
      <w:r w:rsidR="008D6F7C" w:rsidRPr="008D6F7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360-VI 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(далее – Кодекс) и порядком государственной регистрации, установленным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2) Товары, требующие хранения при низких температурах и защиты от замораживания, должны хранится и перевозится в специальных емкостях для обеспечения сохранности от пункта до пункта конечного назначения, а также обеспечения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3) Маркировка, потребительская упаковка и инструкция по применению Товаров должны соответствовать требованиям Кодекса и порядку, установленному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4) Остаточный срок годности Товаров должен составлять не менее пятидесяти процентов от указанного срока годности на упаковке (при сроке годности менее двух лет), а также не менее двенадцати месяцев от указанного срока годности на упаковке (при сроке годности два года и более);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5) Наличие разрешения,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 (правоспособность Поставщика).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6)  Лекарственные средства или медицинские изделия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лекарственные средства,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Сопутствующие услуги: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доставка, разгрузка товара на склад Заказчика, обучение персонала по правильному использованию (в случае необходимости).</w:t>
      </w:r>
    </w:p>
    <w:p w:rsid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3B26F5" w:rsidRP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619"/>
        <w:gridCol w:w="11996"/>
      </w:tblGrid>
      <w:tr w:rsidR="00687590" w:rsidRPr="006D485E" w:rsidTr="00E74A65">
        <w:trPr>
          <w:trHeight w:val="170"/>
        </w:trPr>
        <w:tc>
          <w:tcPr>
            <w:tcW w:w="852" w:type="dxa"/>
            <w:shd w:val="clear" w:color="auto" w:fill="auto"/>
            <w:vAlign w:val="center"/>
            <w:hideMark/>
          </w:tcPr>
          <w:p w:rsidR="005316B5" w:rsidRPr="00004F49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2619" w:type="dxa"/>
            <w:shd w:val="clear" w:color="auto" w:fill="auto"/>
            <w:vAlign w:val="center"/>
            <w:hideMark/>
          </w:tcPr>
          <w:p w:rsidR="005316B5" w:rsidRPr="00004F49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1996" w:type="dxa"/>
            <w:shd w:val="clear" w:color="auto" w:fill="auto"/>
            <w:vAlign w:val="center"/>
            <w:hideMark/>
          </w:tcPr>
          <w:p w:rsidR="005316B5" w:rsidRPr="00004F49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Полная характеристика (описание) товара</w:t>
            </w:r>
          </w:p>
        </w:tc>
      </w:tr>
      <w:tr w:rsidR="0004378E" w:rsidRPr="006D485E" w:rsidTr="004261AD">
        <w:trPr>
          <w:trHeight w:val="170"/>
        </w:trPr>
        <w:tc>
          <w:tcPr>
            <w:tcW w:w="852" w:type="dxa"/>
            <w:shd w:val="clear" w:color="auto" w:fill="auto"/>
          </w:tcPr>
          <w:p w:rsidR="0004378E" w:rsidRPr="00004F49" w:rsidRDefault="0004378E" w:rsidP="0004378E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9" w:type="dxa"/>
            <w:shd w:val="clear" w:color="000000" w:fill="FFFFFF"/>
            <w:vAlign w:val="center"/>
          </w:tcPr>
          <w:p w:rsidR="0004378E" w:rsidRPr="00004F49" w:rsidRDefault="0004378E" w:rsidP="0004378E">
            <w:pPr>
              <w:rPr>
                <w:rFonts w:ascii="Times New Roman" w:hAnsi="Times New Roman"/>
                <w:sz w:val="20"/>
                <w:szCs w:val="20"/>
              </w:rPr>
            </w:pPr>
            <w:r w:rsidRPr="00004F49">
              <w:rPr>
                <w:rFonts w:ascii="Times New Roman" w:hAnsi="Times New Roman"/>
                <w:sz w:val="20"/>
                <w:szCs w:val="20"/>
                <w:lang w:val="en-US"/>
              </w:rPr>
              <w:t>Cheatham</w:t>
            </w:r>
            <w:r w:rsidRPr="00004F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04F49">
              <w:rPr>
                <w:rFonts w:ascii="Times New Roman" w:hAnsi="Times New Roman"/>
                <w:sz w:val="20"/>
                <w:szCs w:val="20"/>
                <w:lang w:val="en-US"/>
              </w:rPr>
              <w:t>Platinum</w:t>
            </w:r>
            <w:r w:rsidRPr="00004F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04F49">
              <w:rPr>
                <w:rFonts w:ascii="Times New Roman" w:hAnsi="Times New Roman"/>
                <w:sz w:val="20"/>
                <w:szCs w:val="20"/>
                <w:lang w:val="en-US"/>
              </w:rPr>
              <w:t>CP</w:t>
            </w:r>
            <w:r w:rsidRPr="00004F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04F49">
              <w:rPr>
                <w:rFonts w:ascii="Times New Roman" w:hAnsi="Times New Roman"/>
                <w:sz w:val="20"/>
                <w:szCs w:val="20"/>
                <w:lang w:val="en-US"/>
              </w:rPr>
              <w:t>Stent</w:t>
            </w:r>
            <w:r w:rsidRPr="00004F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04F49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004F49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004F49">
              <w:rPr>
                <w:rFonts w:ascii="Times New Roman" w:hAnsi="Times New Roman"/>
                <w:sz w:val="20"/>
                <w:szCs w:val="20"/>
              </w:rPr>
              <w:t>каорктации</w:t>
            </w:r>
            <w:proofErr w:type="spellEnd"/>
            <w:r w:rsidRPr="00004F49">
              <w:rPr>
                <w:rFonts w:ascii="Times New Roman" w:hAnsi="Times New Roman"/>
                <w:sz w:val="20"/>
                <w:szCs w:val="20"/>
              </w:rPr>
              <w:t xml:space="preserve"> аорты (непокрытый)</w:t>
            </w:r>
          </w:p>
        </w:tc>
        <w:tc>
          <w:tcPr>
            <w:tcW w:w="11996" w:type="dxa"/>
            <w:shd w:val="clear" w:color="auto" w:fill="auto"/>
            <w:vAlign w:val="bottom"/>
          </w:tcPr>
          <w:p w:rsidR="0004378E" w:rsidRPr="00004F49" w:rsidRDefault="0004378E" w:rsidP="0004378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Высококачественный - CP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Stent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™ изготовлен из проволочной сетки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Platinum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Iridium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толщиной 0,013 дюйма, выполненной в виде зигзагообразного рисунка. Каждое соединение подвергается лазерной спайке с добавлением золота 24К.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Нетравматичен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так как проволока не имеет квадратных краев. Регулируемая подгонка - благодаря своей способности к расширению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возможно   повторно расширять, </w:t>
            </w:r>
            <w:proofErr w:type="gram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в соответствии с естественный ростом</w:t>
            </w:r>
            <w:proofErr w:type="gram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ребенка, т.е. нет необходимости в повторной имплантации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стента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. Количество зигзагов на сегмент: 8. Доступное р</w:t>
            </w:r>
            <w:bookmarkStart w:id="0" w:name="_GoBack"/>
            <w:bookmarkEnd w:id="0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асширение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стента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 12,0 мм до 24,0 мм. Длина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стента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16, 22, 28, 34, 39 и 45 мм. Возможность выбора диаметра от 1.6 до 4.5 см с внешним диаметром баллона от 12.00 мм до 24.00 мм с длиной от 2,5 см до 5,0 см. Обязательное наличие рабочей длины 100см.</w:t>
            </w:r>
          </w:p>
        </w:tc>
      </w:tr>
      <w:tr w:rsidR="0004378E" w:rsidRPr="006D485E" w:rsidTr="004261AD">
        <w:trPr>
          <w:trHeight w:val="170"/>
        </w:trPr>
        <w:tc>
          <w:tcPr>
            <w:tcW w:w="852" w:type="dxa"/>
            <w:shd w:val="clear" w:color="auto" w:fill="auto"/>
          </w:tcPr>
          <w:p w:rsidR="0004378E" w:rsidRPr="00004F49" w:rsidRDefault="0004378E" w:rsidP="0004378E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9" w:type="dxa"/>
            <w:shd w:val="clear" w:color="000000" w:fill="FFFFFF"/>
            <w:vAlign w:val="center"/>
          </w:tcPr>
          <w:p w:rsidR="0004378E" w:rsidRPr="00004F49" w:rsidRDefault="0004378E" w:rsidP="0004378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04F49">
              <w:rPr>
                <w:rFonts w:ascii="Times New Roman" w:hAnsi="Times New Roman"/>
                <w:sz w:val="20"/>
                <w:szCs w:val="20"/>
              </w:rPr>
              <w:t>Дилятационный</w:t>
            </w:r>
            <w:proofErr w:type="spellEnd"/>
            <w:r w:rsidRPr="00004F49">
              <w:rPr>
                <w:rFonts w:ascii="Times New Roman" w:hAnsi="Times New Roman"/>
                <w:sz w:val="20"/>
                <w:szCs w:val="20"/>
              </w:rPr>
              <w:t xml:space="preserve"> катетер для </w:t>
            </w:r>
            <w:proofErr w:type="spellStart"/>
            <w:r w:rsidRPr="00004F49">
              <w:rPr>
                <w:rFonts w:ascii="Times New Roman" w:hAnsi="Times New Roman"/>
                <w:sz w:val="20"/>
                <w:szCs w:val="20"/>
              </w:rPr>
              <w:t>ангиопластики</w:t>
            </w:r>
            <w:proofErr w:type="spellEnd"/>
            <w:r w:rsidRPr="00004F49">
              <w:rPr>
                <w:rFonts w:ascii="Times New Roman" w:hAnsi="Times New Roman"/>
                <w:sz w:val="20"/>
                <w:szCs w:val="20"/>
              </w:rPr>
              <w:t xml:space="preserve"> BIB® (Баллон в баллоне)</w:t>
            </w:r>
          </w:p>
        </w:tc>
        <w:tc>
          <w:tcPr>
            <w:tcW w:w="11996" w:type="dxa"/>
            <w:shd w:val="clear" w:color="auto" w:fill="auto"/>
            <w:vAlign w:val="bottom"/>
          </w:tcPr>
          <w:p w:rsidR="0004378E" w:rsidRPr="00004F49" w:rsidRDefault="0004378E" w:rsidP="0004378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Дилятационный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катетер для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ангиопластики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BIB® состоит из двух (один в одном) баллонов. Материал баллона – термопластичный эластомер с низким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комплайнсом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материал доставляющей части – полимер. Используется для двухэтапного </w:t>
            </w:r>
            <w:proofErr w:type="gram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процесса  имплантации</w:t>
            </w:r>
            <w:proofErr w:type="gram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стентов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Когда внутренний баллон надувается, расширение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стента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начинается от его центра.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надежно прикреплен к баллону, чтобы обеспечить точное позиционирование перед окончательным расширением за счет накачивания внешнего баллона. Если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находится в правильном положении, внешний баллон можно раздуть, тем самым уменьшен риск асимметричного открытия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стента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его смещения.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Дилятационный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катетер для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ангиопластики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BIB® спроектирован так, что диаметр внутреннего баллона составляет 1/2 диаметра внешнего баллона т.е. BB010 диаметром 16 мм имеет внутренний баллон 8,0 мм. Длина внутреннего баллона на 1,0 см короче длины внешнего баллона. т. е. BB010 длиной 3 мм имеет внутренний баллон длиной 2,0 см. Каждый из двух баллонов имеет по 2 рентген-маркера. Давление для наружного баллона от 2 до 10 АТМ, давление для </w:t>
            </w:r>
            <w:proofErr w:type="spellStart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>внутренного</w:t>
            </w:r>
            <w:proofErr w:type="spellEnd"/>
            <w:r w:rsidRPr="00004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баллона от 4, 5 до 5 АТМ. Диаметр внешнего баллона: 8-24 мм, длина баллона: 2,5 -5,5 см. Длина катетера 110 см.  Все баллонные катетеры BIB предназначены для использования с проводником диаметром 0.035".</w:t>
            </w:r>
          </w:p>
        </w:tc>
      </w:tr>
    </w:tbl>
    <w:p w:rsidR="003B26F5" w:rsidRPr="003B26F5" w:rsidRDefault="003B26F5" w:rsidP="00815C4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sectPr w:rsidR="003B26F5" w:rsidRPr="003B26F5" w:rsidSect="003B26F5">
      <w:headerReference w:type="default" r:id="rId8"/>
      <w:footerReference w:type="default" r:id="rId9"/>
      <w:pgSz w:w="16838" w:h="11906" w:orient="landscape"/>
      <w:pgMar w:top="-340" w:right="539" w:bottom="0" w:left="1276" w:header="397" w:footer="284" w:gutter="0"/>
      <w:cols w:space="708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E9E" w:rsidRDefault="00487E9E" w:rsidP="00D118D2">
      <w:pPr>
        <w:spacing w:after="0" w:line="240" w:lineRule="auto"/>
      </w:pPr>
      <w:r>
        <w:separator/>
      </w:r>
    </w:p>
  </w:endnote>
  <w:end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8D2" w:rsidRPr="00D118D2" w:rsidRDefault="00D118D2" w:rsidP="00D118D2">
    <w:pPr>
      <w:pStyle w:val="a6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E9E" w:rsidRDefault="00487E9E" w:rsidP="00D118D2">
      <w:pPr>
        <w:spacing w:after="0" w:line="240" w:lineRule="auto"/>
      </w:pPr>
      <w:r>
        <w:separator/>
      </w:r>
    </w:p>
  </w:footnote>
  <w:foot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738" w:rsidRDefault="00346738" w:rsidP="000A7362">
    <w:pPr>
      <w:pStyle w:val="a4"/>
      <w:tabs>
        <w:tab w:val="left" w:pos="5460"/>
      </w:tabs>
    </w:pPr>
  </w:p>
  <w:p w:rsidR="000A7362" w:rsidRDefault="000A7362" w:rsidP="003B26F5">
    <w:pPr>
      <w:pStyle w:val="a4"/>
      <w:tabs>
        <w:tab w:val="left" w:pos="54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376B28"/>
    <w:multiLevelType w:val="hybridMultilevel"/>
    <w:tmpl w:val="3EEEB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0610B1"/>
    <w:multiLevelType w:val="hybridMultilevel"/>
    <w:tmpl w:val="2AB4ABF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A6"/>
    <w:rsid w:val="00004F49"/>
    <w:rsid w:val="000258CD"/>
    <w:rsid w:val="0004378E"/>
    <w:rsid w:val="000A7362"/>
    <w:rsid w:val="00171263"/>
    <w:rsid w:val="00201D3B"/>
    <w:rsid w:val="002220F9"/>
    <w:rsid w:val="00256FA5"/>
    <w:rsid w:val="0028379C"/>
    <w:rsid w:val="002A43AF"/>
    <w:rsid w:val="002B330C"/>
    <w:rsid w:val="002D05D5"/>
    <w:rsid w:val="002D38F9"/>
    <w:rsid w:val="00313C78"/>
    <w:rsid w:val="00322C49"/>
    <w:rsid w:val="003407D1"/>
    <w:rsid w:val="00346738"/>
    <w:rsid w:val="003A581C"/>
    <w:rsid w:val="003B26F5"/>
    <w:rsid w:val="00441A44"/>
    <w:rsid w:val="00487E9E"/>
    <w:rsid w:val="004959F6"/>
    <w:rsid w:val="004B61A2"/>
    <w:rsid w:val="004C424A"/>
    <w:rsid w:val="004C4DD5"/>
    <w:rsid w:val="00505B63"/>
    <w:rsid w:val="00525FC1"/>
    <w:rsid w:val="0053064F"/>
    <w:rsid w:val="005316B5"/>
    <w:rsid w:val="00537718"/>
    <w:rsid w:val="00566A49"/>
    <w:rsid w:val="005E7B1B"/>
    <w:rsid w:val="00615931"/>
    <w:rsid w:val="00653EA6"/>
    <w:rsid w:val="0065482B"/>
    <w:rsid w:val="00663B7F"/>
    <w:rsid w:val="00687590"/>
    <w:rsid w:val="006A2ECA"/>
    <w:rsid w:val="006D485E"/>
    <w:rsid w:val="006E2365"/>
    <w:rsid w:val="006E28AA"/>
    <w:rsid w:val="00704FDF"/>
    <w:rsid w:val="00722B62"/>
    <w:rsid w:val="00725373"/>
    <w:rsid w:val="00815C43"/>
    <w:rsid w:val="0084707A"/>
    <w:rsid w:val="0089471B"/>
    <w:rsid w:val="008C491C"/>
    <w:rsid w:val="008D50E4"/>
    <w:rsid w:val="008D6F7C"/>
    <w:rsid w:val="00950A2A"/>
    <w:rsid w:val="0095637F"/>
    <w:rsid w:val="00AF10E2"/>
    <w:rsid w:val="00B117BC"/>
    <w:rsid w:val="00B11F00"/>
    <w:rsid w:val="00B30CDB"/>
    <w:rsid w:val="00B50626"/>
    <w:rsid w:val="00B62A7C"/>
    <w:rsid w:val="00BC5302"/>
    <w:rsid w:val="00BF31AF"/>
    <w:rsid w:val="00C17063"/>
    <w:rsid w:val="00C627E5"/>
    <w:rsid w:val="00C8214D"/>
    <w:rsid w:val="00CE1430"/>
    <w:rsid w:val="00D118D2"/>
    <w:rsid w:val="00DD5BDF"/>
    <w:rsid w:val="00DF69FD"/>
    <w:rsid w:val="00E16240"/>
    <w:rsid w:val="00E74A65"/>
    <w:rsid w:val="00E75B29"/>
    <w:rsid w:val="00E8455A"/>
    <w:rsid w:val="00E901DF"/>
    <w:rsid w:val="00EB47B0"/>
    <w:rsid w:val="00EF2FF0"/>
    <w:rsid w:val="00F1440F"/>
    <w:rsid w:val="00F149F3"/>
    <w:rsid w:val="00F36F23"/>
    <w:rsid w:val="00F559A9"/>
    <w:rsid w:val="00F750CA"/>
    <w:rsid w:val="00FA6E5F"/>
    <w:rsid w:val="00FE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10A0766C"/>
  <w15:docId w15:val="{E5DC7389-D3E4-445C-AA07-AE71A414C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  <w:style w:type="paragraph" w:styleId="ab">
    <w:name w:val="No Spacing"/>
    <w:link w:val="ac"/>
    <w:qFormat/>
    <w:rsid w:val="008D6F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locked/>
    <w:rsid w:val="00B11F00"/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6"/>
    <w:basedOn w:val="a0"/>
    <w:rsid w:val="002837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character" w:customStyle="1" w:styleId="BodytextBold">
    <w:name w:val="Body text + Bold"/>
    <w:basedOn w:val="a0"/>
    <w:rsid w:val="00283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table" w:styleId="ad">
    <w:name w:val="Table Grid"/>
    <w:basedOn w:val="a1"/>
    <w:uiPriority w:val="59"/>
    <w:rsid w:val="0028379C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semiHidden/>
    <w:rsid w:val="00B30CDB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B117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3204B-0DBF-47F2-A015-6729F3C7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Тапина Асель Исатаевна</cp:lastModifiedBy>
  <cp:revision>9</cp:revision>
  <cp:lastPrinted>2022-09-15T05:47:00Z</cp:lastPrinted>
  <dcterms:created xsi:type="dcterms:W3CDTF">2022-02-26T03:42:00Z</dcterms:created>
  <dcterms:modified xsi:type="dcterms:W3CDTF">2022-09-15T05:53:00Z</dcterms:modified>
</cp:coreProperties>
</file>